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 w16se w16cid w16 w16cex w16sdtdh w16sdtfl">
  <w:body>
    <w:p xmlns:wp14="http://schemas.microsoft.com/office/word/2010/wordml" w:rsidP="2221D391" wp14:paraId="2C078E63" wp14:textId="71564C2E">
      <w:pPr>
        <w:pStyle w:val="Title"/>
        <w:rPr>
          <w:b w:val="1"/>
          <w:bCs w:val="1"/>
        </w:rPr>
      </w:pPr>
      <w:r w:rsidRPr="2221D391" w:rsidR="5EB49ABE">
        <w:rPr>
          <w:b w:val="1"/>
          <w:bCs w:val="1"/>
        </w:rPr>
        <w:t>Break the Silence with Think-Pair-Share</w:t>
      </w:r>
    </w:p>
    <w:p w:rsidR="74E57171" w:rsidRDefault="74E57171" w14:paraId="36A1DEBC" w14:textId="18D75602">
      <w:r w:rsidRPr="2221D391" w:rsidR="74E57171">
        <w:rPr>
          <w:rFonts w:ascii="Aptos" w:hAnsi="Aptos" w:eastAsia="Aptos" w:cs="Aptos"/>
          <w:sz w:val="24"/>
          <w:szCs w:val="24"/>
        </w:rPr>
        <w:t xml:space="preserve">Many </w:t>
      </w:r>
      <w:r w:rsidRPr="2221D391" w:rsidR="3A221BB7">
        <w:rPr>
          <w:rFonts w:ascii="Aptos" w:hAnsi="Aptos" w:eastAsia="Aptos" w:cs="Aptos"/>
          <w:sz w:val="24"/>
          <w:szCs w:val="24"/>
        </w:rPr>
        <w:t>educator</w:t>
      </w:r>
      <w:r w:rsidRPr="2221D391" w:rsidR="74E57171">
        <w:rPr>
          <w:rFonts w:ascii="Aptos" w:hAnsi="Aptos" w:eastAsia="Aptos" w:cs="Aptos"/>
          <w:sz w:val="24"/>
          <w:szCs w:val="24"/>
        </w:rPr>
        <w:t xml:space="preserve">s believe that if adult learners are quiet, </w:t>
      </w:r>
      <w:r w:rsidRPr="2221D391" w:rsidR="74E57171">
        <w:rPr>
          <w:rFonts w:ascii="Aptos" w:hAnsi="Aptos" w:eastAsia="Aptos" w:cs="Aptos"/>
          <w:sz w:val="24"/>
          <w:szCs w:val="24"/>
        </w:rPr>
        <w:t>they’re</w:t>
      </w:r>
      <w:r w:rsidRPr="2221D391" w:rsidR="74E57171">
        <w:rPr>
          <w:rFonts w:ascii="Aptos" w:hAnsi="Aptos" w:eastAsia="Aptos" w:cs="Aptos"/>
          <w:sz w:val="24"/>
          <w:szCs w:val="24"/>
        </w:rPr>
        <w:t xml:space="preserve"> disengaged. </w:t>
      </w:r>
      <w:r w:rsidRPr="2221D391" w:rsidR="74E57171">
        <w:rPr>
          <w:rFonts w:ascii="Aptos" w:hAnsi="Aptos" w:eastAsia="Aptos" w:cs="Aptos"/>
          <w:sz w:val="24"/>
          <w:szCs w:val="24"/>
        </w:rPr>
        <w:t>That’s</w:t>
      </w:r>
      <w:r w:rsidRPr="2221D391" w:rsidR="74E57171">
        <w:rPr>
          <w:rFonts w:ascii="Aptos" w:hAnsi="Aptos" w:eastAsia="Aptos" w:cs="Aptos"/>
          <w:sz w:val="24"/>
          <w:szCs w:val="24"/>
        </w:rPr>
        <w:t xml:space="preserve"> not always true. </w:t>
      </w:r>
      <w:r w:rsidRPr="2221D391" w:rsidR="74E57171">
        <w:rPr>
          <w:rFonts w:ascii="Aptos" w:hAnsi="Aptos" w:eastAsia="Aptos" w:cs="Aptos"/>
          <w:sz w:val="24"/>
          <w:szCs w:val="24"/>
        </w:rPr>
        <w:t xml:space="preserve">Often, </w:t>
      </w:r>
      <w:r w:rsidRPr="2221D391" w:rsidR="74E57171">
        <w:rPr>
          <w:rFonts w:ascii="Aptos" w:hAnsi="Aptos" w:eastAsia="Aptos" w:cs="Aptos"/>
          <w:sz w:val="24"/>
          <w:szCs w:val="24"/>
        </w:rPr>
        <w:t>they’re</w:t>
      </w:r>
      <w:r w:rsidRPr="2221D391" w:rsidR="74E57171">
        <w:rPr>
          <w:rFonts w:ascii="Aptos" w:hAnsi="Aptos" w:eastAsia="Aptos" w:cs="Aptos"/>
          <w:sz w:val="24"/>
          <w:szCs w:val="24"/>
        </w:rPr>
        <w:t xml:space="preserve"> processing, hesitant to speak up, or waiting for the “right” answer before sharing.</w:t>
      </w:r>
      <w:r w:rsidRPr="2221D391" w:rsidR="74E57171">
        <w:rPr>
          <w:rFonts w:ascii="Aptos" w:hAnsi="Aptos" w:eastAsia="Aptos" w:cs="Aptos"/>
          <w:sz w:val="24"/>
          <w:szCs w:val="24"/>
        </w:rPr>
        <w:t xml:space="preserve"> Think-Pair-Share breaks down these barriers, giving every student the chance to contribute in a structured, low-pressure way. It turns passive thinking into active dialogue and transforms silent classrooms into vibrant learning spaces. </w:t>
      </w:r>
    </w:p>
    <w:p w:rsidR="5156AE52" w:rsidP="2221D391" w:rsidRDefault="5156AE52" w14:paraId="4117F779" w14:textId="742D2238">
      <w:pPr>
        <w:pStyle w:val="Heading2"/>
        <w:spacing w:before="299" w:beforeAutospacing="off" w:after="299" w:afterAutospacing="off"/>
      </w:pPr>
      <w:r w:rsidRPr="2221D391" w:rsidR="5156AE52">
        <w:rPr>
          <w:rFonts w:ascii="Aptos" w:hAnsi="Aptos" w:eastAsia="Aptos" w:cs="Aptos"/>
          <w:b w:val="1"/>
          <w:bCs w:val="1"/>
          <w:sz w:val="36"/>
          <w:szCs w:val="36"/>
        </w:rPr>
        <w:t>Understanding Think-Pair-Share: The Three-Step Process</w:t>
      </w:r>
    </w:p>
    <w:p w:rsidR="5156AE52" w:rsidP="2221D391" w:rsidRDefault="5156AE52" w14:paraId="715DEBC9" w14:textId="483C5EFF">
      <w:pPr>
        <w:spacing w:before="240" w:beforeAutospacing="off" w:after="240" w:afterAutospacing="off"/>
        <w:rPr>
          <w:rFonts w:ascii="Aptos" w:hAnsi="Aptos" w:eastAsia="Aptos" w:cs="Aptos"/>
          <w:sz w:val="24"/>
          <w:szCs w:val="24"/>
        </w:rPr>
      </w:pPr>
      <w:r w:rsidRPr="2221D391" w:rsidR="5156AE52">
        <w:rPr>
          <w:rFonts w:ascii="Aptos" w:hAnsi="Aptos" w:eastAsia="Aptos" w:cs="Aptos"/>
          <w:sz w:val="24"/>
          <w:szCs w:val="24"/>
        </w:rPr>
        <w:t xml:space="preserve">Originally developed by </w:t>
      </w:r>
      <w:hyperlink r:id="R68672db2c62640ae">
        <w:r w:rsidRPr="2221D391" w:rsidR="5156AE52">
          <w:rPr>
            <w:rStyle w:val="Hyperlink"/>
            <w:rFonts w:ascii="Aptos" w:hAnsi="Aptos" w:eastAsia="Aptos" w:cs="Aptos"/>
            <w:b w:val="1"/>
            <w:bCs w:val="1"/>
            <w:sz w:val="24"/>
            <w:szCs w:val="24"/>
          </w:rPr>
          <w:t>Frank Lyman in 1981</w:t>
        </w:r>
        <w:r w:rsidRPr="2221D391" w:rsidR="5156AE52">
          <w:rPr>
            <w:rStyle w:val="Hyperlink"/>
            <w:rFonts w:ascii="Aptos" w:hAnsi="Aptos" w:eastAsia="Aptos" w:cs="Aptos"/>
            <w:sz w:val="24"/>
            <w:szCs w:val="24"/>
          </w:rPr>
          <w:t>,</w:t>
        </w:r>
      </w:hyperlink>
      <w:r w:rsidRPr="2221D391" w:rsidR="5156AE52">
        <w:rPr>
          <w:rFonts w:ascii="Aptos" w:hAnsi="Aptos" w:eastAsia="Aptos" w:cs="Aptos"/>
          <w:sz w:val="24"/>
          <w:szCs w:val="24"/>
        </w:rPr>
        <w:t xml:space="preserve"> Think-Pair-Share is a structured discussion technique that enhances student engagemen</w:t>
      </w:r>
      <w:r w:rsidRPr="2221D391" w:rsidR="5156AE52">
        <w:rPr>
          <w:rFonts w:ascii="Aptos" w:hAnsi="Aptos" w:eastAsia="Aptos" w:cs="Aptos"/>
          <w:sz w:val="24"/>
          <w:szCs w:val="24"/>
        </w:rPr>
        <w:t>t.</w:t>
      </w:r>
      <w:r w:rsidRPr="2221D391" w:rsidR="5156AE52">
        <w:rPr>
          <w:rFonts w:ascii="Aptos" w:hAnsi="Aptos" w:eastAsia="Aptos" w:cs="Aptos"/>
          <w:sz w:val="24"/>
          <w:szCs w:val="24"/>
        </w:rPr>
        <w:t xml:space="preserve"> </w:t>
      </w:r>
      <w:r w:rsidRPr="2221D391" w:rsidR="5156AE52">
        <w:rPr>
          <w:rFonts w:ascii="Aptos" w:hAnsi="Aptos" w:eastAsia="Aptos" w:cs="Aptos"/>
          <w:sz w:val="24"/>
          <w:szCs w:val="24"/>
        </w:rPr>
        <w:t>Her</w:t>
      </w:r>
      <w:r w:rsidRPr="2221D391" w:rsidR="5156AE52">
        <w:rPr>
          <w:rFonts w:ascii="Aptos" w:hAnsi="Aptos" w:eastAsia="Aptos" w:cs="Aptos"/>
          <w:sz w:val="24"/>
          <w:szCs w:val="24"/>
        </w:rPr>
        <w:t>e’</w:t>
      </w:r>
      <w:r w:rsidRPr="2221D391" w:rsidR="5156AE52">
        <w:rPr>
          <w:rFonts w:ascii="Aptos" w:hAnsi="Aptos" w:eastAsia="Aptos" w:cs="Aptos"/>
          <w:sz w:val="24"/>
          <w:szCs w:val="24"/>
        </w:rPr>
        <w:t>s</w:t>
      </w:r>
      <w:r w:rsidRPr="2221D391" w:rsidR="5156AE52">
        <w:rPr>
          <w:rFonts w:ascii="Aptos" w:hAnsi="Aptos" w:eastAsia="Aptos" w:cs="Aptos"/>
          <w:sz w:val="24"/>
          <w:szCs w:val="24"/>
        </w:rPr>
        <w:t xml:space="preserve"> how it works:</w:t>
      </w:r>
    </w:p>
    <w:p w:rsidR="5156AE52" w:rsidP="2221D391" w:rsidRDefault="5156AE52" w14:paraId="2138A8D2" w14:textId="58912371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sz w:val="24"/>
          <w:szCs w:val="24"/>
        </w:rPr>
      </w:pPr>
      <w:r w:rsidRPr="2221D391" w:rsidR="5156AE52">
        <w:rPr>
          <w:rFonts w:ascii="Aptos" w:hAnsi="Aptos" w:eastAsia="Aptos" w:cs="Aptos"/>
          <w:b w:val="1"/>
          <w:bCs w:val="1"/>
          <w:sz w:val="24"/>
          <w:szCs w:val="24"/>
        </w:rPr>
        <w:t>Think:</w:t>
      </w:r>
      <w:r w:rsidRPr="2221D391" w:rsidR="5156AE52">
        <w:rPr>
          <w:rFonts w:ascii="Aptos" w:hAnsi="Aptos" w:eastAsia="Aptos" w:cs="Aptos"/>
          <w:sz w:val="24"/>
          <w:szCs w:val="24"/>
        </w:rPr>
        <w:t xml:space="preserve"> The instructor poses a thought-provoking question. Learners take time to reflect and form </w:t>
      </w:r>
      <w:r w:rsidRPr="2221D391" w:rsidR="5156AE52">
        <w:rPr>
          <w:rFonts w:ascii="Aptos" w:hAnsi="Aptos" w:eastAsia="Aptos" w:cs="Aptos"/>
          <w:sz w:val="24"/>
          <w:szCs w:val="24"/>
        </w:rPr>
        <w:t>an initial</w:t>
      </w:r>
      <w:r w:rsidRPr="2221D391" w:rsidR="5156AE52">
        <w:rPr>
          <w:rFonts w:ascii="Aptos" w:hAnsi="Aptos" w:eastAsia="Aptos" w:cs="Aptos"/>
          <w:sz w:val="24"/>
          <w:szCs w:val="24"/>
        </w:rPr>
        <w:t xml:space="preserve"> response.</w:t>
      </w:r>
    </w:p>
    <w:p w:rsidR="5156AE52" w:rsidP="2221D391" w:rsidRDefault="5156AE52" w14:paraId="236E6DF4" w14:textId="39D4D7D8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sz w:val="24"/>
          <w:szCs w:val="24"/>
        </w:rPr>
      </w:pPr>
      <w:r w:rsidRPr="2221D391" w:rsidR="5156AE52">
        <w:rPr>
          <w:rFonts w:ascii="Aptos" w:hAnsi="Aptos" w:eastAsia="Aptos" w:cs="Aptos"/>
          <w:b w:val="1"/>
          <w:bCs w:val="1"/>
          <w:sz w:val="24"/>
          <w:szCs w:val="24"/>
        </w:rPr>
        <w:t>Pair:</w:t>
      </w:r>
      <w:r w:rsidRPr="2221D391" w:rsidR="5156AE52">
        <w:rPr>
          <w:rFonts w:ascii="Aptos" w:hAnsi="Aptos" w:eastAsia="Aptos" w:cs="Aptos"/>
          <w:sz w:val="24"/>
          <w:szCs w:val="24"/>
        </w:rPr>
        <w:t xml:space="preserve"> Students discuss their thoughts with a partner, refining their ideas and gaining new perspectives.</w:t>
      </w:r>
    </w:p>
    <w:p w:rsidR="5156AE52" w:rsidP="2221D391" w:rsidRDefault="5156AE52" w14:paraId="60E9524D" w14:textId="0E2FE320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sz w:val="24"/>
          <w:szCs w:val="24"/>
        </w:rPr>
      </w:pPr>
      <w:r w:rsidRPr="2221D391" w:rsidR="5156AE52">
        <w:rPr>
          <w:rFonts w:ascii="Aptos" w:hAnsi="Aptos" w:eastAsia="Aptos" w:cs="Aptos"/>
          <w:b w:val="1"/>
          <w:bCs w:val="1"/>
          <w:sz w:val="24"/>
          <w:szCs w:val="24"/>
        </w:rPr>
        <w:t>Share:</w:t>
      </w:r>
      <w:r w:rsidRPr="2221D391" w:rsidR="5156AE52">
        <w:rPr>
          <w:rFonts w:ascii="Aptos" w:hAnsi="Aptos" w:eastAsia="Aptos" w:cs="Aptos"/>
          <w:sz w:val="24"/>
          <w:szCs w:val="24"/>
        </w:rPr>
        <w:t xml:space="preserve"> Pairs present their insights to the class, sparking broader discussion and deeper analysis.</w:t>
      </w:r>
    </w:p>
    <w:p w:rsidR="5156AE52" w:rsidP="2221D391" w:rsidRDefault="5156AE52" w14:paraId="5CC11315" w14:textId="506D0929">
      <w:pPr>
        <w:spacing w:before="240" w:beforeAutospacing="off" w:after="240" w:afterAutospacing="off"/>
        <w:rPr>
          <w:rFonts w:ascii="Aptos" w:hAnsi="Aptos" w:eastAsia="Aptos" w:cs="Aptos"/>
          <w:sz w:val="24"/>
          <w:szCs w:val="24"/>
        </w:rPr>
      </w:pPr>
      <w:r w:rsidRPr="2221D391" w:rsidR="5156AE52">
        <w:rPr>
          <w:rFonts w:ascii="Aptos" w:hAnsi="Aptos" w:eastAsia="Aptos" w:cs="Aptos"/>
          <w:sz w:val="24"/>
          <w:szCs w:val="24"/>
        </w:rPr>
        <w:t>This method encourages active participation, builds confidence in speaking, and allows learners to articulate and challenge their assumptions in a structured manner.</w:t>
      </w:r>
    </w:p>
    <w:p w:rsidR="6C20C1BF" w:rsidP="2221D391" w:rsidRDefault="6C20C1BF" w14:paraId="442A4901" w14:textId="3AA56591">
      <w:pPr>
        <w:pStyle w:val="Heading2"/>
        <w:spacing w:before="299" w:beforeAutospacing="off" w:after="299" w:afterAutospacing="off"/>
      </w:pPr>
      <w:r w:rsidRPr="2221D391" w:rsidR="6C20C1BF">
        <w:rPr>
          <w:rFonts w:ascii="Aptos" w:hAnsi="Aptos" w:eastAsia="Aptos" w:cs="Aptos"/>
          <w:b w:val="1"/>
          <w:bCs w:val="1"/>
          <w:sz w:val="36"/>
          <w:szCs w:val="36"/>
        </w:rPr>
        <w:t>Think-Pair-Share in Action</w:t>
      </w:r>
    </w:p>
    <w:p w:rsidR="6C20C1BF" w:rsidP="2221D391" w:rsidRDefault="6C20C1BF" w14:paraId="5FF22D78" w14:textId="0E2F4C86">
      <w:pPr>
        <w:pStyle w:val="Normal"/>
        <w:rPr>
          <w:noProof w:val="0"/>
          <w:lang w:val="en-US"/>
        </w:rPr>
      </w:pPr>
      <w:r w:rsidR="6C20C1BF">
        <w:rPr/>
        <w:t>Let’s</w:t>
      </w:r>
      <w:r w:rsidR="6C20C1BF">
        <w:rPr/>
        <w:t xml:space="preserve"> look at an example of the Think-Pair-Share strategy in a classroom setting-</w:t>
      </w:r>
    </w:p>
    <w:p w:rsidR="6C20C1BF" w:rsidP="2221D391" w:rsidRDefault="6C20C1BF" w14:paraId="1C1050CD" w14:textId="4EC9AC2F">
      <w:pPr>
        <w:spacing w:before="240" w:beforeAutospacing="off" w:after="240" w:afterAutospacing="off"/>
      </w:pPr>
      <w:r w:rsidRPr="2221D391" w:rsidR="6C20C1BF">
        <w:rPr>
          <w:rFonts w:ascii="Aptos" w:hAnsi="Aptos" w:eastAsia="Aptos" w:cs="Aptos"/>
          <w:b w:val="1"/>
          <w:bCs w:val="1"/>
          <w:sz w:val="24"/>
          <w:szCs w:val="24"/>
        </w:rPr>
        <w:t>Instructor:</w:t>
      </w:r>
      <w:r w:rsidRPr="2221D391" w:rsidR="6C20C1BF">
        <w:rPr>
          <w:rFonts w:ascii="Aptos" w:hAnsi="Aptos" w:eastAsia="Aptos" w:cs="Aptos"/>
          <w:sz w:val="24"/>
          <w:szCs w:val="24"/>
        </w:rPr>
        <w:t xml:space="preserve"> “Today, </w:t>
      </w:r>
      <w:r w:rsidRPr="2221D391" w:rsidR="6C20C1BF">
        <w:rPr>
          <w:rFonts w:ascii="Aptos" w:hAnsi="Aptos" w:eastAsia="Aptos" w:cs="Aptos"/>
          <w:sz w:val="24"/>
          <w:szCs w:val="24"/>
        </w:rPr>
        <w:t>we’re</w:t>
      </w:r>
      <w:r w:rsidRPr="2221D391" w:rsidR="6C20C1BF">
        <w:rPr>
          <w:rFonts w:ascii="Aptos" w:hAnsi="Aptos" w:eastAsia="Aptos" w:cs="Aptos"/>
          <w:sz w:val="24"/>
          <w:szCs w:val="24"/>
        </w:rPr>
        <w:t xml:space="preserve"> tackling a challenging question: </w:t>
      </w:r>
      <w:r w:rsidRPr="2221D391" w:rsidR="6C20C1BF">
        <w:rPr>
          <w:rFonts w:ascii="Aptos" w:hAnsi="Aptos" w:eastAsia="Aptos" w:cs="Aptos"/>
          <w:i w:val="1"/>
          <w:iCs w:val="1"/>
          <w:sz w:val="24"/>
          <w:szCs w:val="24"/>
        </w:rPr>
        <w:t xml:space="preserve">What criteria should a company use when deciding who to lay off during </w:t>
      </w:r>
      <w:r w:rsidRPr="2221D391" w:rsidR="6C20C1BF">
        <w:rPr>
          <w:rFonts w:ascii="Aptos" w:hAnsi="Aptos" w:eastAsia="Aptos" w:cs="Aptos"/>
          <w:i w:val="1"/>
          <w:iCs w:val="1"/>
          <w:sz w:val="24"/>
          <w:szCs w:val="24"/>
        </w:rPr>
        <w:t>a financial crisis</w:t>
      </w:r>
      <w:r w:rsidRPr="2221D391" w:rsidR="6C20C1BF">
        <w:rPr>
          <w:rFonts w:ascii="Aptos" w:hAnsi="Aptos" w:eastAsia="Aptos" w:cs="Aptos"/>
          <w:i w:val="1"/>
          <w:iCs w:val="1"/>
          <w:sz w:val="24"/>
          <w:szCs w:val="24"/>
        </w:rPr>
        <w:t>?</w:t>
      </w:r>
      <w:r w:rsidRPr="2221D391" w:rsidR="6C20C1BF">
        <w:rPr>
          <w:rFonts w:ascii="Aptos" w:hAnsi="Aptos" w:eastAsia="Aptos" w:cs="Aptos"/>
          <w:sz w:val="24"/>
          <w:szCs w:val="24"/>
        </w:rPr>
        <w:t xml:space="preserve"> Take a moment to think about your approach.”</w:t>
      </w:r>
    </w:p>
    <w:p w:rsidR="6C20C1BF" w:rsidP="2221D391" w:rsidRDefault="6C20C1BF" w14:paraId="15F18F1C" w14:textId="060EE78B">
      <w:pPr>
        <w:spacing w:before="240" w:beforeAutospacing="off" w:after="240" w:afterAutospacing="off"/>
      </w:pPr>
      <w:r w:rsidRPr="2221D391" w:rsidR="6C20C1BF">
        <w:rPr>
          <w:rFonts w:ascii="Aptos" w:hAnsi="Aptos" w:eastAsia="Aptos" w:cs="Aptos"/>
          <w:sz w:val="24"/>
          <w:szCs w:val="24"/>
        </w:rPr>
        <w:t>(Students take two minutes to reflect, jotting down key factors like performance, tenure, and potential impact on team morale.)</w:t>
      </w:r>
    </w:p>
    <w:p w:rsidR="6C20C1BF" w:rsidP="2221D391" w:rsidRDefault="6C20C1BF" w14:paraId="408EBAFA" w14:textId="54482B0D">
      <w:pPr>
        <w:spacing w:before="240" w:beforeAutospacing="off" w:after="240" w:afterAutospacing="off"/>
      </w:pPr>
      <w:r w:rsidRPr="2221D391" w:rsidR="6C20C1BF">
        <w:rPr>
          <w:rFonts w:ascii="Aptos" w:hAnsi="Aptos" w:eastAsia="Aptos" w:cs="Aptos"/>
          <w:b w:val="1"/>
          <w:bCs w:val="1"/>
          <w:sz w:val="24"/>
          <w:szCs w:val="24"/>
        </w:rPr>
        <w:t>Instructor:</w:t>
      </w:r>
      <w:r w:rsidRPr="2221D391" w:rsidR="6C20C1BF">
        <w:rPr>
          <w:rFonts w:ascii="Aptos" w:hAnsi="Aptos" w:eastAsia="Aptos" w:cs="Aptos"/>
          <w:sz w:val="24"/>
          <w:szCs w:val="24"/>
        </w:rPr>
        <w:t xml:space="preserve"> “Now, turn to the person next to you. Share your criteria and compare your reasoning. Do you agree or challenge each other’s logic?”</w:t>
      </w:r>
    </w:p>
    <w:p w:rsidR="6C20C1BF" w:rsidP="2221D391" w:rsidRDefault="6C20C1BF" w14:paraId="51B4F8C2" w14:textId="55580EB3">
      <w:pPr>
        <w:spacing w:before="240" w:beforeAutospacing="off" w:after="240" w:afterAutospacing="off"/>
      </w:pPr>
      <w:r w:rsidRPr="2221D391" w:rsidR="6C20C1BF">
        <w:rPr>
          <w:rFonts w:ascii="Aptos" w:hAnsi="Aptos" w:eastAsia="Aptos" w:cs="Aptos"/>
          <w:sz w:val="24"/>
          <w:szCs w:val="24"/>
        </w:rPr>
        <w:t>(Students engage in animated discussions, questioning each other’s assumptions and refining their arguments.)</w:t>
      </w:r>
    </w:p>
    <w:p w:rsidR="6C20C1BF" w:rsidP="2221D391" w:rsidRDefault="6C20C1BF" w14:paraId="06776E3D" w14:textId="0822387D">
      <w:pPr>
        <w:spacing w:before="240" w:beforeAutospacing="off" w:after="240" w:afterAutospacing="off"/>
      </w:pPr>
      <w:r w:rsidRPr="2221D391" w:rsidR="6C20C1BF">
        <w:rPr>
          <w:rFonts w:ascii="Aptos" w:hAnsi="Aptos" w:eastAsia="Aptos" w:cs="Aptos"/>
          <w:b w:val="1"/>
          <w:bCs w:val="1"/>
          <w:sz w:val="24"/>
          <w:szCs w:val="24"/>
        </w:rPr>
        <w:t>Instructor:</w:t>
      </w:r>
      <w:r w:rsidRPr="2221D391" w:rsidR="6C20C1BF">
        <w:rPr>
          <w:rFonts w:ascii="Aptos" w:hAnsi="Aptos" w:eastAsia="Aptos" w:cs="Aptos"/>
          <w:sz w:val="24"/>
          <w:szCs w:val="24"/>
        </w:rPr>
        <w:t xml:space="preserve"> “</w:t>
      </w:r>
      <w:r w:rsidRPr="2221D391" w:rsidR="6C20C1BF">
        <w:rPr>
          <w:rFonts w:ascii="Aptos" w:hAnsi="Aptos" w:eastAsia="Aptos" w:cs="Aptos"/>
          <w:sz w:val="24"/>
          <w:szCs w:val="24"/>
        </w:rPr>
        <w:t>Let’s</w:t>
      </w:r>
      <w:r w:rsidRPr="2221D391" w:rsidR="6C20C1BF">
        <w:rPr>
          <w:rFonts w:ascii="Aptos" w:hAnsi="Aptos" w:eastAsia="Aptos" w:cs="Aptos"/>
          <w:sz w:val="24"/>
          <w:szCs w:val="24"/>
        </w:rPr>
        <w:t xml:space="preserve"> hear from a few pairs. What criteria did you prioritize and why?”</w:t>
      </w:r>
    </w:p>
    <w:p w:rsidR="6C20C1BF" w:rsidP="2221D391" w:rsidRDefault="6C20C1BF" w14:paraId="415D5C63" w14:textId="0EF2868E">
      <w:pPr>
        <w:spacing w:before="240" w:beforeAutospacing="off" w:after="240" w:afterAutospacing="off"/>
      </w:pPr>
      <w:r w:rsidRPr="2221D391" w:rsidR="6C20C1BF">
        <w:rPr>
          <w:rFonts w:ascii="Aptos" w:hAnsi="Aptos" w:eastAsia="Aptos" w:cs="Aptos"/>
          <w:sz w:val="24"/>
          <w:szCs w:val="24"/>
        </w:rPr>
        <w:t>(Volunteers share insights, leading to a larger class discussion on ethical decision-making in corporate restructuring.)</w:t>
      </w:r>
    </w:p>
    <w:p w:rsidR="6C20C1BF" w:rsidP="2221D391" w:rsidRDefault="6C20C1BF" w14:paraId="722BB9B9" w14:textId="106F5FCC">
      <w:pPr>
        <w:spacing w:before="240" w:beforeAutospacing="off" w:after="240" w:afterAutospacing="off"/>
      </w:pPr>
      <w:r w:rsidRPr="2221D391" w:rsidR="6C20C1BF">
        <w:rPr>
          <w:rFonts w:ascii="Aptos" w:hAnsi="Aptos" w:eastAsia="Aptos" w:cs="Aptos"/>
          <w:sz w:val="24"/>
          <w:szCs w:val="24"/>
        </w:rPr>
        <w:t xml:space="preserve">By structuring the discussion this way, the instructor ensures </w:t>
      </w:r>
      <w:r w:rsidRPr="2221D391" w:rsidR="6C20C1BF">
        <w:rPr>
          <w:rFonts w:ascii="Aptos" w:hAnsi="Aptos" w:eastAsia="Aptos" w:cs="Aptos"/>
          <w:b w:val="1"/>
          <w:bCs w:val="1"/>
          <w:sz w:val="24"/>
          <w:szCs w:val="24"/>
        </w:rPr>
        <w:t>every learner engages</w:t>
      </w:r>
      <w:r w:rsidRPr="2221D391" w:rsidR="6C20C1BF">
        <w:rPr>
          <w:rFonts w:ascii="Aptos" w:hAnsi="Aptos" w:eastAsia="Aptos" w:cs="Aptos"/>
          <w:sz w:val="24"/>
          <w:szCs w:val="24"/>
        </w:rPr>
        <w:t>, encouraging deeper thinking, peer-to-peer learning, and real-world application of theoretical concepts.</w:t>
      </w:r>
    </w:p>
    <w:p w:rsidR="56E96C34" w:rsidP="2221D391" w:rsidRDefault="56E96C34" w14:paraId="792B91DF" w14:textId="0A245534">
      <w:pPr>
        <w:pStyle w:val="Heading2"/>
        <w:spacing w:before="299" w:beforeAutospacing="off" w:after="299" w:afterAutospacing="off"/>
        <w:rPr>
          <w:rFonts w:ascii="Aptos" w:hAnsi="Aptos" w:eastAsia="Aptos" w:cs="Aptos"/>
          <w:b w:val="1"/>
          <w:bCs w:val="1"/>
          <w:sz w:val="28"/>
          <w:szCs w:val="28"/>
        </w:rPr>
      </w:pPr>
      <w:r w:rsidRPr="2221D391" w:rsidR="56E96C34">
        <w:rPr>
          <w:rFonts w:ascii="Aptos" w:hAnsi="Aptos" w:eastAsia="Aptos" w:cs="Aptos"/>
          <w:b w:val="1"/>
          <w:bCs w:val="1"/>
          <w:sz w:val="36"/>
          <w:szCs w:val="36"/>
        </w:rPr>
        <w:t xml:space="preserve">Variations of Think-Pair-Share </w:t>
      </w:r>
    </w:p>
    <w:p w:rsidR="6CF11B52" w:rsidP="2221D391" w:rsidRDefault="6CF11B52" w14:paraId="074D27B4" w14:textId="66F9EE94">
      <w:pPr>
        <w:spacing w:before="240" w:beforeAutospacing="off" w:after="240" w:afterAutospacing="off"/>
      </w:pPr>
      <w:r w:rsidRPr="2221D391" w:rsidR="6CF11B52">
        <w:rPr>
          <w:rFonts w:ascii="Aptos" w:hAnsi="Aptos" w:eastAsia="Aptos" w:cs="Aptos"/>
          <w:sz w:val="24"/>
          <w:szCs w:val="24"/>
        </w:rPr>
        <w:t>T</w:t>
      </w:r>
      <w:r w:rsidRPr="2221D391" w:rsidR="100079A4">
        <w:rPr>
          <w:rFonts w:ascii="Aptos" w:hAnsi="Aptos" w:eastAsia="Aptos" w:cs="Aptos"/>
          <w:sz w:val="24"/>
          <w:szCs w:val="24"/>
        </w:rPr>
        <w:t>hink-Pair-Share</w:t>
      </w:r>
      <w:r w:rsidRPr="2221D391" w:rsidR="56E96C34">
        <w:rPr>
          <w:rFonts w:ascii="Aptos" w:hAnsi="Aptos" w:eastAsia="Aptos" w:cs="Aptos"/>
          <w:sz w:val="24"/>
          <w:szCs w:val="24"/>
        </w:rPr>
        <w:t xml:space="preserve"> is powerful, but like any method, overuse can lead to predictabi</w:t>
      </w:r>
      <w:r w:rsidRPr="2221D391" w:rsidR="56E96C34">
        <w:rPr>
          <w:rFonts w:ascii="Aptos" w:hAnsi="Aptos" w:eastAsia="Aptos" w:cs="Aptos"/>
          <w:sz w:val="24"/>
          <w:szCs w:val="24"/>
        </w:rPr>
        <w:t>lity.</w:t>
      </w:r>
      <w:r w:rsidRPr="2221D391" w:rsidR="56E96C34">
        <w:rPr>
          <w:rFonts w:ascii="Aptos" w:hAnsi="Aptos" w:eastAsia="Aptos" w:cs="Aptos"/>
          <w:sz w:val="24"/>
          <w:szCs w:val="24"/>
        </w:rPr>
        <w:t xml:space="preserve"> </w:t>
      </w:r>
      <w:r w:rsidRPr="2221D391" w:rsidR="56E96C34">
        <w:rPr>
          <w:rFonts w:ascii="Aptos" w:hAnsi="Aptos" w:eastAsia="Aptos" w:cs="Aptos"/>
          <w:sz w:val="24"/>
          <w:szCs w:val="24"/>
        </w:rPr>
        <w:t>Let’s</w:t>
      </w:r>
      <w:r w:rsidRPr="2221D391" w:rsidR="56E96C34">
        <w:rPr>
          <w:rFonts w:ascii="Aptos" w:hAnsi="Aptos" w:eastAsia="Aptos" w:cs="Aptos"/>
          <w:sz w:val="24"/>
          <w:szCs w:val="24"/>
        </w:rPr>
        <w:t xml:space="preserve"> shake things up:</w:t>
      </w:r>
    </w:p>
    <w:p w:rsidR="56E96C34" w:rsidP="2221D391" w:rsidRDefault="56E96C34" w14:paraId="146316D9" w14:textId="0B78E1E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883093F" w:rsidR="56E96C34">
        <w:rPr>
          <w:rStyle w:val="Heading4Char"/>
          <w:b w:val="1"/>
          <w:bCs w:val="1"/>
        </w:rPr>
        <w:t>Think-Pair-Rotate</w:t>
      </w:r>
      <w:r w:rsidRPr="5883093F" w:rsidR="4AB76F36">
        <w:rPr>
          <w:rStyle w:val="Heading4Char"/>
          <w:b w:val="1"/>
          <w:bCs w:val="1"/>
        </w:rPr>
        <w:t xml:space="preserve"> -</w:t>
      </w:r>
      <w:r w:rsidRPr="5883093F" w:rsidR="56E96C34">
        <w:rPr>
          <w:rFonts w:ascii="Aptos" w:hAnsi="Aptos" w:eastAsia="Aptos" w:cs="Aptos"/>
          <w:sz w:val="24"/>
          <w:szCs w:val="24"/>
        </w:rPr>
        <w:t xml:space="preserve"> </w:t>
      </w:r>
      <w:r w:rsidR="33EBE284">
        <w:rPr/>
        <w:t>After discussing with one partner, students rotate and share their insights with a new partner. This broadens exposure to multiple viewpoints.</w:t>
      </w:r>
      <w:r w:rsidRPr="5883093F" w:rsidR="33EBE284">
        <w:rPr>
          <w:rFonts w:ascii="Aptos" w:hAnsi="Aptos" w:eastAsia="Aptos" w:cs="Aptos"/>
          <w:sz w:val="24"/>
          <w:szCs w:val="24"/>
        </w:rPr>
        <w:t xml:space="preserve"> </w:t>
      </w:r>
    </w:p>
    <w:p w:rsidR="56E96C34" w:rsidP="2221D391" w:rsidRDefault="56E96C34" w14:paraId="42C1F862" w14:textId="20FFA02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sz w:val="24"/>
          <w:szCs w:val="24"/>
        </w:rPr>
      </w:pPr>
      <w:r w:rsidRPr="5883093F" w:rsidR="56E96C34">
        <w:rPr>
          <w:rStyle w:val="Heading4Char"/>
          <w:b w:val="1"/>
          <w:bCs w:val="1"/>
        </w:rPr>
        <w:t xml:space="preserve">Debate-Style </w:t>
      </w:r>
      <w:r w:rsidRPr="5883093F" w:rsidR="1DE77CA6">
        <w:rPr>
          <w:rStyle w:val="Heading4Char"/>
          <w:b w:val="1"/>
          <w:bCs w:val="1"/>
        </w:rPr>
        <w:t>Think-Pair-Share</w:t>
      </w:r>
      <w:r w:rsidRPr="5883093F" w:rsidR="6E038B40">
        <w:rPr>
          <w:rFonts w:ascii="Aptos" w:hAnsi="Aptos" w:eastAsia="Aptos" w:cs="Aptos"/>
          <w:sz w:val="24"/>
          <w:szCs w:val="24"/>
        </w:rPr>
        <w:t xml:space="preserve"> -</w:t>
      </w:r>
      <w:r w:rsidRPr="5883093F" w:rsidR="56E96C34">
        <w:rPr>
          <w:rFonts w:ascii="Aptos" w:hAnsi="Aptos" w:eastAsia="Aptos" w:cs="Aptos"/>
          <w:sz w:val="24"/>
          <w:szCs w:val="24"/>
        </w:rPr>
        <w:t xml:space="preserve"> </w:t>
      </w:r>
      <w:r w:rsidR="465E16BA">
        <w:rPr/>
        <w:t xml:space="preserve">Assign students opposing viewpoints on an issue and have them defend their stance, </w:t>
      </w:r>
      <w:r w:rsidRPr="5883093F" w:rsidR="56E96C34">
        <w:rPr>
          <w:rFonts w:ascii="Aptos" w:hAnsi="Aptos" w:eastAsia="Aptos" w:cs="Aptos"/>
          <w:sz w:val="24"/>
          <w:szCs w:val="24"/>
        </w:rPr>
        <w:t>before engaging in a class-wide discussion.</w:t>
      </w:r>
    </w:p>
    <w:p w:rsidR="56E96C34" w:rsidP="2221D391" w:rsidRDefault="56E96C34" w14:paraId="060D30FE" w14:textId="2C3512C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sz w:val="24"/>
          <w:szCs w:val="24"/>
        </w:rPr>
      </w:pPr>
      <w:r w:rsidRPr="5883093F" w:rsidR="56E96C34">
        <w:rPr>
          <w:rStyle w:val="Heading4Char"/>
          <w:b w:val="1"/>
          <w:bCs w:val="1"/>
        </w:rPr>
        <w:t xml:space="preserve">Tech-Enhanced </w:t>
      </w:r>
      <w:r w:rsidRPr="5883093F" w:rsidR="17CCEE1A">
        <w:rPr>
          <w:rStyle w:val="Heading4Char"/>
          <w:b w:val="1"/>
          <w:bCs w:val="1"/>
        </w:rPr>
        <w:t>Think-Pair-Share</w:t>
      </w:r>
      <w:r w:rsidRPr="5883093F" w:rsidR="134A9D9B">
        <w:rPr>
          <w:rStyle w:val="Heading4Char"/>
          <w:b w:val="1"/>
          <w:bCs w:val="1"/>
        </w:rPr>
        <w:t xml:space="preserve"> -</w:t>
      </w:r>
      <w:r w:rsidRPr="5883093F" w:rsidR="56E96C34">
        <w:rPr>
          <w:rFonts w:ascii="Aptos" w:hAnsi="Aptos" w:eastAsia="Aptos" w:cs="Aptos"/>
          <w:sz w:val="24"/>
          <w:szCs w:val="24"/>
        </w:rPr>
        <w:t xml:space="preserve"> Use platforms like </w:t>
      </w:r>
      <w:r w:rsidRPr="5883093F" w:rsidR="56E96C34">
        <w:rPr>
          <w:rFonts w:ascii="Aptos" w:hAnsi="Aptos" w:eastAsia="Aptos" w:cs="Aptos"/>
          <w:b w:val="1"/>
          <w:bCs w:val="1"/>
          <w:sz w:val="24"/>
          <w:szCs w:val="24"/>
        </w:rPr>
        <w:t>Padlet, Miro, or live polls</w:t>
      </w:r>
      <w:r w:rsidRPr="5883093F" w:rsidR="2DA60752">
        <w:rPr>
          <w:rFonts w:ascii="Aptos" w:hAnsi="Aptos" w:eastAsia="Aptos" w:cs="Aptos"/>
          <w:sz w:val="24"/>
          <w:szCs w:val="24"/>
        </w:rPr>
        <w:t xml:space="preserve">, </w:t>
      </w:r>
      <w:r w:rsidR="2DA60752">
        <w:rPr/>
        <w:t>making it easier to engage large classrooms and remote learners.</w:t>
      </w:r>
    </w:p>
    <w:p w:rsidR="2221D391" w:rsidP="2221D391" w:rsidRDefault="2221D391" w14:paraId="5A2C5F16" w14:textId="05F3ACF8">
      <w:pPr>
        <w:pStyle w:val="Normal"/>
        <w:spacing w:before="0" w:beforeAutospacing="off" w:after="0" w:afterAutospacing="off"/>
        <w:ind w:left="0"/>
        <w:rPr>
          <w:sz w:val="24"/>
          <w:szCs w:val="24"/>
        </w:rPr>
      </w:pPr>
    </w:p>
    <w:p w:rsidR="742A238F" w:rsidP="2221D391" w:rsidRDefault="742A238F" w14:paraId="63C5273E" w14:textId="3AF4C93F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2221D391" w:rsidR="742A238F">
        <w:rPr>
          <w:sz w:val="24"/>
          <w:szCs w:val="24"/>
        </w:rPr>
        <w:t xml:space="preserve">Find more variations on </w:t>
      </w:r>
      <w:hyperlink r:id="R70eb960eb82b4455">
        <w:r w:rsidRPr="2221D391" w:rsidR="742A238F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GB"/>
          </w:rPr>
          <w:t>Think-Pair-Share Variations: 16 Ways to Up Your Game | Edutopia</w:t>
        </w:r>
      </w:hyperlink>
    </w:p>
    <w:p w:rsidR="1536560C" w:rsidP="2221D391" w:rsidRDefault="1536560C" w14:paraId="11459D57" w14:textId="767FE89C">
      <w:pPr>
        <w:pStyle w:val="Heading2"/>
        <w:spacing w:before="299" w:beforeAutospacing="off" w:after="299" w:afterAutospacing="off"/>
      </w:pPr>
      <w:r w:rsidRPr="2221D391" w:rsidR="1536560C">
        <w:rPr>
          <w:rFonts w:ascii="Aptos" w:hAnsi="Aptos" w:eastAsia="Aptos" w:cs="Aptos"/>
          <w:b w:val="1"/>
          <w:bCs w:val="1"/>
          <w:sz w:val="36"/>
          <w:szCs w:val="36"/>
        </w:rPr>
        <w:t>Overcoming Common Challenges</w:t>
      </w:r>
    </w:p>
    <w:p w:rsidR="1536560C" w:rsidP="2221D391" w:rsidRDefault="1536560C" w14:paraId="577C676C" w14:textId="4C82DEE6">
      <w:pPr>
        <w:pStyle w:val="Heading4"/>
        <w:rPr>
          <w:b w:val="1"/>
          <w:bCs w:val="1"/>
          <w:i w:val="0"/>
          <w:iCs w:val="0"/>
        </w:rPr>
      </w:pPr>
      <w:r w:rsidRPr="2221D391" w:rsidR="1536560C">
        <w:rPr>
          <w:b w:val="1"/>
          <w:bCs w:val="1"/>
          <w:i w:val="0"/>
          <w:iCs w:val="0"/>
        </w:rPr>
        <w:t>Time Constraints</w:t>
      </w:r>
    </w:p>
    <w:p w:rsidR="1536560C" w:rsidP="2221D391" w:rsidRDefault="1536560C" w14:paraId="4DB67293" w14:textId="135335C0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sz w:val="24"/>
          <w:szCs w:val="24"/>
        </w:rPr>
      </w:pPr>
      <w:r w:rsidRPr="2221D391" w:rsidR="1536560C">
        <w:rPr>
          <w:rFonts w:ascii="Aptos" w:hAnsi="Aptos" w:eastAsia="Aptos" w:cs="Aptos"/>
          <w:sz w:val="24"/>
          <w:szCs w:val="24"/>
        </w:rPr>
        <w:t>Set clear time limits for each phase (e.g., 2 minutes for thinking, 4 minutes for pairing, 5 minutes for sharing).</w:t>
      </w:r>
    </w:p>
    <w:p w:rsidR="1536560C" w:rsidP="2221D391" w:rsidRDefault="1536560C" w14:paraId="002D85C8" w14:textId="2A4D1A28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sz w:val="24"/>
          <w:szCs w:val="24"/>
        </w:rPr>
      </w:pPr>
      <w:r w:rsidRPr="2221D391" w:rsidR="1536560C">
        <w:rPr>
          <w:rFonts w:ascii="Aptos" w:hAnsi="Aptos" w:eastAsia="Aptos" w:cs="Aptos"/>
          <w:sz w:val="24"/>
          <w:szCs w:val="24"/>
        </w:rPr>
        <w:t xml:space="preserve">Use timers or countdown slides to </w:t>
      </w:r>
      <w:r w:rsidRPr="2221D391" w:rsidR="1536560C">
        <w:rPr>
          <w:rFonts w:ascii="Aptos" w:hAnsi="Aptos" w:eastAsia="Aptos" w:cs="Aptos"/>
          <w:sz w:val="24"/>
          <w:szCs w:val="24"/>
        </w:rPr>
        <w:t>maintain</w:t>
      </w:r>
      <w:r w:rsidRPr="2221D391" w:rsidR="1536560C">
        <w:rPr>
          <w:rFonts w:ascii="Aptos" w:hAnsi="Aptos" w:eastAsia="Aptos" w:cs="Aptos"/>
          <w:sz w:val="24"/>
          <w:szCs w:val="24"/>
        </w:rPr>
        <w:t xml:space="preserve"> momentum and ensure discussions stay focused.</w:t>
      </w:r>
    </w:p>
    <w:p w:rsidR="1536560C" w:rsidP="2221D391" w:rsidRDefault="1536560C" w14:paraId="2C9D6BA5" w14:textId="77C3E4B0">
      <w:pPr>
        <w:pStyle w:val="Heading4"/>
        <w:rPr>
          <w:b w:val="1"/>
          <w:bCs w:val="1"/>
          <w:i w:val="0"/>
          <w:iCs w:val="0"/>
        </w:rPr>
      </w:pPr>
      <w:r w:rsidRPr="2221D391" w:rsidR="1536560C">
        <w:rPr>
          <w:b w:val="1"/>
          <w:bCs w:val="1"/>
          <w:i w:val="0"/>
          <w:iCs w:val="0"/>
        </w:rPr>
        <w:t>Encouraging Participation from Reserved Students</w:t>
      </w:r>
    </w:p>
    <w:p w:rsidR="1536560C" w:rsidP="2221D391" w:rsidRDefault="1536560C" w14:paraId="2B802E5B" w14:textId="44EAB14F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sz w:val="24"/>
          <w:szCs w:val="24"/>
        </w:rPr>
      </w:pPr>
      <w:r w:rsidRPr="2221D391" w:rsidR="1536560C">
        <w:rPr>
          <w:rFonts w:ascii="Aptos" w:hAnsi="Aptos" w:eastAsia="Aptos" w:cs="Aptos"/>
          <w:sz w:val="24"/>
          <w:szCs w:val="24"/>
        </w:rPr>
        <w:t>Start with low-stakes discussions before moving to class-wide sharing.</w:t>
      </w:r>
    </w:p>
    <w:p w:rsidR="1536560C" w:rsidP="2221D391" w:rsidRDefault="1536560C" w14:paraId="187838C8" w14:textId="265E5E2C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sz w:val="24"/>
          <w:szCs w:val="24"/>
        </w:rPr>
      </w:pPr>
      <w:r w:rsidRPr="2221D391" w:rsidR="1536560C">
        <w:rPr>
          <w:rFonts w:ascii="Aptos" w:hAnsi="Aptos" w:eastAsia="Aptos" w:cs="Aptos"/>
          <w:sz w:val="24"/>
          <w:szCs w:val="24"/>
        </w:rPr>
        <w:t>Use structured prompts like “One insight you gained from your partner” to make sharing easier.</w:t>
      </w:r>
    </w:p>
    <w:p w:rsidR="1536560C" w:rsidP="2221D391" w:rsidRDefault="1536560C" w14:paraId="769BFBEF" w14:textId="367553C1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sz w:val="24"/>
          <w:szCs w:val="24"/>
        </w:rPr>
      </w:pPr>
      <w:r w:rsidRPr="2221D391" w:rsidR="1536560C">
        <w:rPr>
          <w:rFonts w:ascii="Aptos" w:hAnsi="Aptos" w:eastAsia="Aptos" w:cs="Aptos"/>
          <w:sz w:val="24"/>
          <w:szCs w:val="24"/>
        </w:rPr>
        <w:t xml:space="preserve">Allow students to </w:t>
      </w:r>
      <w:r w:rsidRPr="2221D391" w:rsidR="1536560C">
        <w:rPr>
          <w:rFonts w:ascii="Aptos" w:hAnsi="Aptos" w:eastAsia="Aptos" w:cs="Aptos"/>
          <w:sz w:val="24"/>
          <w:szCs w:val="24"/>
        </w:rPr>
        <w:t>submit</w:t>
      </w:r>
      <w:r w:rsidRPr="2221D391" w:rsidR="1536560C">
        <w:rPr>
          <w:rFonts w:ascii="Aptos" w:hAnsi="Aptos" w:eastAsia="Aptos" w:cs="Aptos"/>
          <w:sz w:val="24"/>
          <w:szCs w:val="24"/>
        </w:rPr>
        <w:t xml:space="preserve"> written reflections if they are hesitant to speak up.</w:t>
      </w:r>
    </w:p>
    <w:p w:rsidR="1536560C" w:rsidP="2221D391" w:rsidRDefault="1536560C" w14:paraId="6357957D" w14:textId="457901B5">
      <w:pPr>
        <w:pStyle w:val="Heading4"/>
        <w:rPr>
          <w:b w:val="1"/>
          <w:bCs w:val="1"/>
          <w:i w:val="0"/>
          <w:iCs w:val="0"/>
        </w:rPr>
      </w:pPr>
      <w:r w:rsidRPr="2221D391" w:rsidR="1536560C">
        <w:rPr>
          <w:b w:val="1"/>
          <w:bCs w:val="1"/>
          <w:i w:val="0"/>
          <w:iCs w:val="0"/>
        </w:rPr>
        <w:t>Managing Large Class Sizes</w:t>
      </w:r>
    </w:p>
    <w:p w:rsidR="1536560C" w:rsidP="2221D391" w:rsidRDefault="1536560C" w14:paraId="275CE218" w14:textId="718A8ACD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sz w:val="24"/>
          <w:szCs w:val="24"/>
        </w:rPr>
      </w:pPr>
      <w:r w:rsidRPr="2221D391" w:rsidR="1536560C">
        <w:rPr>
          <w:rFonts w:ascii="Aptos" w:hAnsi="Aptos" w:eastAsia="Aptos" w:cs="Aptos"/>
          <w:sz w:val="24"/>
          <w:szCs w:val="24"/>
        </w:rPr>
        <w:t xml:space="preserve">Have selected groups share instead of every </w:t>
      </w:r>
      <w:r w:rsidRPr="2221D391" w:rsidR="60E2ECF5">
        <w:rPr>
          <w:rFonts w:ascii="Aptos" w:hAnsi="Aptos" w:eastAsia="Aptos" w:cs="Aptos"/>
          <w:sz w:val="24"/>
          <w:szCs w:val="24"/>
        </w:rPr>
        <w:t>pair or</w:t>
      </w:r>
      <w:r w:rsidRPr="2221D391" w:rsidR="1536560C">
        <w:rPr>
          <w:rFonts w:ascii="Aptos" w:hAnsi="Aptos" w:eastAsia="Aptos" w:cs="Aptos"/>
          <w:sz w:val="24"/>
          <w:szCs w:val="24"/>
        </w:rPr>
        <w:t xml:space="preserve"> use digital tools to collect responses and highlight recurring themes.</w:t>
      </w:r>
    </w:p>
    <w:p w:rsidR="2221D391" w:rsidP="5883093F" w:rsidRDefault="2221D391" w14:paraId="2358F1C3" w14:textId="63224E4C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sz w:val="24"/>
          <w:szCs w:val="24"/>
        </w:rPr>
      </w:pPr>
      <w:r w:rsidRPr="5883093F" w:rsidR="1536560C">
        <w:rPr>
          <w:rFonts w:ascii="Aptos" w:hAnsi="Aptos" w:eastAsia="Aptos" w:cs="Aptos"/>
          <w:sz w:val="24"/>
          <w:szCs w:val="24"/>
        </w:rPr>
        <w:t>Use “think-pair-write-share” where students jot down responses before pairing, making it easier to track participation.</w:t>
      </w:r>
    </w:p>
    <w:p w:rsidR="23C114B7" w:rsidP="2221D391" w:rsidRDefault="23C114B7" w14:paraId="2CE52EC8" w14:textId="4C94292B">
      <w:pPr>
        <w:pStyle w:val="Normal"/>
        <w:spacing w:before="240" w:beforeAutospacing="off" w:after="240" w:afterAutospacing="off"/>
        <w:rPr>
          <w:rFonts w:ascii="Aptos" w:hAnsi="Aptos" w:eastAsia="Aptos" w:cs="Aptos"/>
          <w:sz w:val="24"/>
          <w:szCs w:val="24"/>
        </w:rPr>
      </w:pPr>
      <w:r w:rsidRPr="5883093F" w:rsidR="23C114B7">
        <w:rPr>
          <w:rFonts w:ascii="Aptos" w:hAnsi="Aptos" w:eastAsia="Aptos" w:cs="Aptos"/>
          <w:sz w:val="24"/>
          <w:szCs w:val="24"/>
        </w:rPr>
        <w:t xml:space="preserve">In this video, </w:t>
      </w:r>
      <w:r w:rsidRPr="5883093F" w:rsidR="2C85C961">
        <w:rPr>
          <w:rFonts w:ascii="Aptos" w:hAnsi="Aptos" w:eastAsia="Aptos" w:cs="Aptos"/>
          <w:b w:val="1"/>
          <w:bCs w:val="1"/>
          <w:i w:val="1"/>
          <w:iCs w:val="1"/>
          <w:sz w:val="24"/>
          <w:szCs w:val="24"/>
        </w:rPr>
        <w:t>J</w:t>
      </w:r>
      <w:r w:rsidRPr="5883093F" w:rsidR="23C114B7">
        <w:rPr>
          <w:rFonts w:ascii="Aptos" w:hAnsi="Aptos" w:eastAsia="Aptos" w:cs="Aptos"/>
          <w:b w:val="1"/>
          <w:bCs w:val="1"/>
          <w:i w:val="1"/>
          <w:iCs w:val="1"/>
          <w:sz w:val="24"/>
          <w:szCs w:val="24"/>
        </w:rPr>
        <w:t>anet Rankin fro</w:t>
      </w:r>
      <w:r w:rsidRPr="5883093F" w:rsidR="34EA37E0">
        <w:rPr>
          <w:rFonts w:ascii="Aptos" w:hAnsi="Aptos" w:eastAsia="Aptos" w:cs="Aptos"/>
          <w:b w:val="1"/>
          <w:bCs w:val="1"/>
          <w:i w:val="1"/>
          <w:iCs w:val="1"/>
          <w:sz w:val="24"/>
          <w:szCs w:val="24"/>
        </w:rPr>
        <w:t xml:space="preserve">m the Massachusetts Institute of Technology </w:t>
      </w:r>
      <w:r w:rsidRPr="5883093F" w:rsidR="03B88A60">
        <w:rPr>
          <w:rFonts w:ascii="Aptos" w:hAnsi="Aptos" w:eastAsia="Aptos" w:cs="Aptos"/>
          <w:sz w:val="24"/>
          <w:szCs w:val="24"/>
        </w:rPr>
        <w:t xml:space="preserve">shares her experience and best practices while implementing the Think-Pair-Share Strategy in her classes. </w:t>
      </w:r>
    </w:p>
    <w:p w:rsidR="2221D391" w:rsidP="2221D391" w:rsidRDefault="2221D391" w14:paraId="44D1206E" w14:textId="742B65C7">
      <w:pPr>
        <w:pStyle w:val="Normal"/>
        <w:spacing w:before="240" w:beforeAutospacing="off" w:after="240" w:afterAutospacing="off"/>
        <w:rPr>
          <w:rFonts w:ascii="Aptos" w:hAnsi="Aptos" w:eastAsia="Aptos" w:cs="Aptos"/>
          <w:sz w:val="24"/>
          <w:szCs w:val="24"/>
        </w:rPr>
      </w:pPr>
      <w:r w:rsidR="2221D391">
        <w:drawing>
          <wp:anchor distT="0" distB="0" distL="114300" distR="114300" simplePos="0" relativeHeight="251658240" behindDoc="0" locked="0" layoutInCell="1" allowOverlap="1" wp14:editId="040A8DEA" wp14:anchorId="766AD58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72150" cy="3352800"/>
            <wp:effectExtent l="0" t="0" r="0" b="0"/>
            <wp:wrapSquare wrapText="bothSides"/>
            <wp:docPr id="2056821594" name="picture" title="Video titled: Think-Pair-Share">
              <a:hlinkClick r:id="R26ce90fe04154d1e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c4451f20518c4b7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youtu.be/fqrOxeL-fwk?si=YRbT7jZUGm6OnOFj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7625223A" w:rsidP="2221D391" w:rsidRDefault="7625223A" w14:paraId="4229A0D7" w14:textId="1B2E6A4A">
      <w:pPr>
        <w:pStyle w:val="Heading2"/>
        <w:rPr>
          <w:b w:val="1"/>
          <w:bCs w:val="1"/>
        </w:rPr>
      </w:pPr>
      <w:r w:rsidRPr="2221D391" w:rsidR="7625223A">
        <w:rPr>
          <w:b w:val="1"/>
          <w:bCs w:val="1"/>
        </w:rPr>
        <w:t>Final Thoughts</w:t>
      </w:r>
    </w:p>
    <w:p w:rsidR="2221D391" w:rsidP="5883093F" w:rsidRDefault="2221D391" w14:paraId="4191F2A7" w14:textId="4A241CEB">
      <w:pPr>
        <w:rPr>
          <w:rFonts w:ascii="Aptos" w:hAnsi="Aptos" w:eastAsia="Aptos" w:cs="Aptos"/>
          <w:sz w:val="24"/>
          <w:szCs w:val="24"/>
        </w:rPr>
      </w:pPr>
      <w:r w:rsidRPr="5883093F" w:rsidR="7625223A">
        <w:rPr>
          <w:rFonts w:ascii="Aptos" w:hAnsi="Aptos" w:eastAsia="Aptos" w:cs="Aptos"/>
          <w:sz w:val="24"/>
          <w:szCs w:val="24"/>
        </w:rPr>
        <w:t xml:space="preserve">You might introduce Think-Pair-Share to spark discussion—but its real impact </w:t>
      </w:r>
      <w:r w:rsidRPr="5883093F" w:rsidR="7625223A">
        <w:rPr>
          <w:rFonts w:ascii="Aptos" w:hAnsi="Aptos" w:eastAsia="Aptos" w:cs="Aptos"/>
          <w:b w:val="1"/>
          <w:bCs w:val="1"/>
          <w:sz w:val="24"/>
          <w:szCs w:val="24"/>
        </w:rPr>
        <w:t>goes far beyond that</w:t>
      </w:r>
      <w:r w:rsidRPr="5883093F" w:rsidR="7625223A">
        <w:rPr>
          <w:rFonts w:ascii="Aptos" w:hAnsi="Aptos" w:eastAsia="Aptos" w:cs="Aptos"/>
          <w:sz w:val="24"/>
          <w:szCs w:val="24"/>
        </w:rPr>
        <w:t xml:space="preserve">. </w:t>
      </w:r>
      <w:r w:rsidRPr="5883093F" w:rsidR="7625223A">
        <w:rPr>
          <w:rFonts w:ascii="Aptos" w:hAnsi="Aptos" w:eastAsia="Aptos" w:cs="Aptos"/>
          <w:sz w:val="24"/>
          <w:szCs w:val="24"/>
        </w:rPr>
        <w:t>You’ll</w:t>
      </w:r>
      <w:r w:rsidRPr="5883093F" w:rsidR="7625223A">
        <w:rPr>
          <w:rFonts w:ascii="Aptos" w:hAnsi="Aptos" w:eastAsia="Aptos" w:cs="Aptos"/>
          <w:sz w:val="24"/>
          <w:szCs w:val="24"/>
        </w:rPr>
        <w:t xml:space="preserve"> start seeing students who were once hesitant to speak grow more confident. </w:t>
      </w:r>
      <w:r w:rsidRPr="5883093F" w:rsidR="7625223A">
        <w:rPr>
          <w:rFonts w:ascii="Aptos" w:hAnsi="Aptos" w:eastAsia="Aptos" w:cs="Aptos"/>
          <w:sz w:val="24"/>
          <w:szCs w:val="24"/>
        </w:rPr>
        <w:t>You’ll</w:t>
      </w:r>
      <w:r w:rsidRPr="5883093F" w:rsidR="7625223A">
        <w:rPr>
          <w:rFonts w:ascii="Aptos" w:hAnsi="Aptos" w:eastAsia="Aptos" w:cs="Aptos"/>
          <w:sz w:val="24"/>
          <w:szCs w:val="24"/>
        </w:rPr>
        <w:t xml:space="preserve"> </w:t>
      </w:r>
      <w:r w:rsidRPr="5883093F" w:rsidR="7625223A">
        <w:rPr>
          <w:rFonts w:ascii="Aptos" w:hAnsi="Aptos" w:eastAsia="Aptos" w:cs="Aptos"/>
          <w:sz w:val="24"/>
          <w:szCs w:val="24"/>
        </w:rPr>
        <w:t>witness</w:t>
      </w:r>
      <w:r w:rsidRPr="5883093F" w:rsidR="7625223A">
        <w:rPr>
          <w:rFonts w:ascii="Aptos" w:hAnsi="Aptos" w:eastAsia="Aptos" w:cs="Aptos"/>
          <w:sz w:val="24"/>
          <w:szCs w:val="24"/>
        </w:rPr>
        <w:t xml:space="preserve"> sharper critical thinking, stronger debates, and richer engagement. By making this small shift in how we </w:t>
      </w:r>
      <w:r w:rsidRPr="5883093F" w:rsidR="7625223A">
        <w:rPr>
          <w:rFonts w:ascii="Aptos" w:hAnsi="Aptos" w:eastAsia="Aptos" w:cs="Aptos"/>
          <w:sz w:val="24"/>
          <w:szCs w:val="24"/>
        </w:rPr>
        <w:t>facilitate</w:t>
      </w:r>
      <w:r w:rsidRPr="5883093F" w:rsidR="7625223A">
        <w:rPr>
          <w:rFonts w:ascii="Aptos" w:hAnsi="Aptos" w:eastAsia="Aptos" w:cs="Aptos"/>
          <w:sz w:val="24"/>
          <w:szCs w:val="24"/>
        </w:rPr>
        <w:t xml:space="preserve"> learning, we create spaces where every voice matters, ideas are challenged, and deeper understanding is built.</w:t>
      </w:r>
    </w:p>
    <w:p w:rsidR="5883093F" w:rsidP="5883093F" w:rsidRDefault="5883093F" w14:paraId="45B1E143" w14:textId="696AA297">
      <w:pPr>
        <w:rPr>
          <w:rFonts w:ascii="Aptos" w:hAnsi="Aptos" w:eastAsia="Aptos" w:cs="Aptos"/>
          <w:sz w:val="24"/>
          <w:szCs w:val="24"/>
        </w:rPr>
      </w:pPr>
    </w:p>
    <w:p w:rsidR="780DF161" w:rsidP="2221D391" w:rsidRDefault="780DF161" w14:paraId="1A57D3A7" w14:textId="1B197D0A">
      <w:pPr>
        <w:pStyle w:val="Heading2"/>
        <w:suppressLineNumbers w:val="0"/>
        <w:bidi w:val="0"/>
        <w:spacing w:before="160" w:beforeAutospacing="off" w:after="80" w:afterAutospacing="off" w:line="279" w:lineRule="auto"/>
        <w:ind w:left="0" w:right="0"/>
        <w:jc w:val="left"/>
      </w:pPr>
      <w:r w:rsidRPr="5883093F" w:rsidR="780DF161">
        <w:rPr>
          <w:b w:val="1"/>
          <w:bCs w:val="1"/>
        </w:rPr>
        <w:t>References</w:t>
      </w:r>
    </w:p>
    <w:p w:rsidR="2221D391" w:rsidP="5883093F" w:rsidRDefault="2221D391" w14:paraId="11E677B0" w14:textId="39E753F9">
      <w:pPr>
        <w:bidi w:val="0"/>
        <w:spacing w:before="240" w:beforeAutospacing="off" w:after="240" w:afterAutospacing="off" w:line="279" w:lineRule="auto"/>
        <w:ind w:left="720" w:right="0" w:hanging="720"/>
        <w:rPr>
          <w:rFonts w:ascii="Aptos Display" w:hAnsi="Aptos Display" w:eastAsia="Aptos Display" w:cs="Aptos Display" w:asciiTheme="majorAscii" w:hAnsiTheme="majorAscii" w:eastAsiaTheme="majorAscii" w:cstheme="majorAscii"/>
          <w:sz w:val="20"/>
          <w:szCs w:val="20"/>
        </w:rPr>
      </w:pPr>
      <w:r w:rsidRPr="5883093F" w:rsidR="79C78A12">
        <w:rPr>
          <w:rFonts w:ascii="Aptos" w:hAnsi="Aptos" w:eastAsia="Aptos" w:cs="Aptos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Creative. (2019, October 11). </w:t>
      </w:r>
      <w:r w:rsidRPr="5883093F" w:rsidR="79C78A12">
        <w:rPr>
          <w:rFonts w:ascii="Aptos" w:hAnsi="Aptos" w:eastAsia="Aptos" w:cs="Aptos" w:asciiTheme="majorAscii" w:hAnsiTheme="majorAscii" w:eastAsiaTheme="majorAscii" w:cstheme="majorAscii"/>
          <w:i w:val="1"/>
          <w:iCs w:val="1"/>
          <w:noProof w:val="0"/>
          <w:sz w:val="24"/>
          <w:szCs w:val="24"/>
          <w:lang w:val="en-GB"/>
        </w:rPr>
        <w:t>What are Pair Shares and How Do They Benefit Adult Learners? - Go Interactive Training</w:t>
      </w:r>
      <w:r w:rsidRPr="5883093F" w:rsidR="79C78A12">
        <w:rPr>
          <w:rFonts w:ascii="Aptos" w:hAnsi="Aptos" w:eastAsia="Aptos" w:cs="Aptos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. Go Interactive Training. </w:t>
      </w:r>
      <w:hyperlink r:id="Rab4344cd00894be1">
        <w:r w:rsidRPr="5883093F" w:rsidR="79C78A12">
          <w:rPr>
            <w:rStyle w:val="Hyperlink"/>
            <w:rFonts w:ascii="Aptos" w:hAnsi="Aptos" w:eastAsia="Aptos" w:cs="Aptos" w:asciiTheme="majorAscii" w:hAnsiTheme="majorAscii" w:eastAsiaTheme="majorAscii" w:cstheme="majorAscii"/>
            <w:noProof w:val="0"/>
            <w:sz w:val="24"/>
            <w:szCs w:val="24"/>
            <w:lang w:val="en-GB"/>
          </w:rPr>
          <w:t>https://www.gointeractivetraining.com/pair-shares/</w:t>
        </w:r>
      </w:hyperlink>
    </w:p>
    <w:p w:rsidR="2221D391" w:rsidP="5883093F" w:rsidRDefault="2221D391" w14:paraId="2457341C" w14:textId="07693B12">
      <w:pPr>
        <w:bidi w:val="0"/>
        <w:spacing w:before="240" w:beforeAutospacing="off" w:after="240" w:afterAutospacing="off" w:line="279" w:lineRule="auto"/>
        <w:ind w:left="720" w:right="0" w:hanging="720"/>
        <w:rPr>
          <w:rFonts w:ascii="Aptos Display" w:hAnsi="Aptos Display" w:eastAsia="Aptos Display" w:cs="Aptos Display" w:asciiTheme="majorAscii" w:hAnsiTheme="majorAscii" w:eastAsiaTheme="majorAscii" w:cstheme="majorAscii"/>
          <w:sz w:val="20"/>
          <w:szCs w:val="20"/>
        </w:rPr>
      </w:pPr>
      <w:r w:rsidRPr="5883093F" w:rsidR="79C78A12">
        <w:rPr>
          <w:rFonts w:ascii="Aptos" w:hAnsi="Aptos" w:eastAsia="Aptos" w:cs="Aptos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Finley, T. (2024, December 6). </w:t>
      </w:r>
      <w:r w:rsidRPr="5883093F" w:rsidR="79C78A12">
        <w:rPr>
          <w:rFonts w:ascii="Aptos" w:hAnsi="Aptos" w:eastAsia="Aptos" w:cs="Aptos" w:asciiTheme="majorAscii" w:hAnsiTheme="majorAscii" w:eastAsiaTheme="majorAscii" w:cstheme="majorAscii"/>
          <w:i w:val="1"/>
          <w:iCs w:val="1"/>
          <w:noProof w:val="0"/>
          <w:sz w:val="24"/>
          <w:szCs w:val="24"/>
          <w:lang w:val="en-GB"/>
        </w:rPr>
        <w:t>16 Variations on Think-Pair-Share to keep students engaged</w:t>
      </w:r>
      <w:r w:rsidRPr="5883093F" w:rsidR="79C78A12">
        <w:rPr>
          <w:rFonts w:ascii="Aptos" w:hAnsi="Aptos" w:eastAsia="Aptos" w:cs="Aptos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. Edutopia. </w:t>
      </w:r>
      <w:hyperlink r:id="R73709e59cc6745ec">
        <w:r w:rsidRPr="5883093F" w:rsidR="79C78A12">
          <w:rPr>
            <w:rStyle w:val="Hyperlink"/>
            <w:rFonts w:ascii="Aptos" w:hAnsi="Aptos" w:eastAsia="Aptos" w:cs="Aptos" w:asciiTheme="majorAscii" w:hAnsiTheme="majorAscii" w:eastAsiaTheme="majorAscii" w:cstheme="majorAscii"/>
            <w:noProof w:val="0"/>
            <w:sz w:val="24"/>
            <w:szCs w:val="24"/>
            <w:lang w:val="en-GB"/>
          </w:rPr>
          <w:t>https://www.edutopia.org/article/think-pair-share-variations-16-ways-up-your-game</w:t>
        </w:r>
      </w:hyperlink>
    </w:p>
    <w:p w:rsidR="2221D391" w:rsidP="5883093F" w:rsidRDefault="2221D391" w14:paraId="543E5713" w14:textId="6706ADC6">
      <w:pPr>
        <w:bidi w:val="0"/>
        <w:spacing w:before="240" w:beforeAutospacing="off" w:after="240" w:afterAutospacing="off" w:line="279" w:lineRule="auto"/>
        <w:ind w:left="720" w:right="0" w:hanging="720"/>
        <w:rPr>
          <w:rFonts w:ascii="Aptos Display" w:hAnsi="Aptos Display" w:eastAsia="Aptos Display" w:cs="Aptos Display" w:asciiTheme="majorAscii" w:hAnsiTheme="majorAscii" w:eastAsiaTheme="majorAscii" w:cstheme="majorAscii"/>
          <w:sz w:val="20"/>
          <w:szCs w:val="20"/>
        </w:rPr>
      </w:pPr>
      <w:r w:rsidRPr="5883093F" w:rsidR="79C78A12">
        <w:rPr>
          <w:rFonts w:ascii="Aptos" w:hAnsi="Aptos" w:eastAsia="Aptos" w:cs="Aptos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Main, P. (2023, February 5). </w:t>
      </w:r>
      <w:r w:rsidRPr="5883093F" w:rsidR="79C78A12">
        <w:rPr>
          <w:rFonts w:ascii="Aptos" w:hAnsi="Aptos" w:eastAsia="Aptos" w:cs="Aptos" w:asciiTheme="majorAscii" w:hAnsiTheme="majorAscii" w:eastAsiaTheme="majorAscii" w:cstheme="majorAscii"/>
          <w:i w:val="1"/>
          <w:iCs w:val="1"/>
          <w:noProof w:val="0"/>
          <w:sz w:val="24"/>
          <w:szCs w:val="24"/>
          <w:lang w:val="en-GB"/>
        </w:rPr>
        <w:t>Think, pair, share: A teachers guide</w:t>
      </w:r>
      <w:r w:rsidRPr="5883093F" w:rsidR="79C78A12">
        <w:rPr>
          <w:rFonts w:ascii="Aptos" w:hAnsi="Aptos" w:eastAsia="Aptos" w:cs="Aptos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. Structural Learning. </w:t>
      </w:r>
      <w:hyperlink r:id="Rfd0bd91313934a4e">
        <w:r w:rsidRPr="5883093F" w:rsidR="79C78A12">
          <w:rPr>
            <w:rStyle w:val="Hyperlink"/>
            <w:rFonts w:ascii="Aptos" w:hAnsi="Aptos" w:eastAsia="Aptos" w:cs="Aptos" w:asciiTheme="majorAscii" w:hAnsiTheme="majorAscii" w:eastAsiaTheme="majorAscii" w:cstheme="majorAscii"/>
            <w:noProof w:val="0"/>
            <w:sz w:val="24"/>
            <w:szCs w:val="24"/>
            <w:lang w:val="en-GB"/>
          </w:rPr>
          <w:t>https://www.structural-learning.com/post/think-pair-share-a-teachers-guide</w:t>
        </w:r>
      </w:hyperlink>
    </w:p>
    <w:p w:rsidR="2221D391" w:rsidP="5883093F" w:rsidRDefault="2221D391" w14:paraId="694511AD" w14:textId="486D60B1">
      <w:pPr>
        <w:bidi w:val="0"/>
        <w:spacing w:before="240" w:beforeAutospacing="off" w:after="240" w:afterAutospacing="off" w:line="279" w:lineRule="auto"/>
        <w:ind w:left="720" w:right="0" w:hanging="720"/>
        <w:rPr>
          <w:rFonts w:ascii="Aptos Display" w:hAnsi="Aptos Display" w:eastAsia="Aptos Display" w:cs="Aptos Display" w:asciiTheme="majorAscii" w:hAnsiTheme="majorAscii" w:eastAsiaTheme="majorAscii" w:cstheme="majorAscii"/>
          <w:sz w:val="20"/>
          <w:szCs w:val="20"/>
        </w:rPr>
      </w:pPr>
      <w:r w:rsidRPr="5883093F" w:rsidR="79C78A12">
        <w:rPr>
          <w:rFonts w:ascii="Aptos" w:hAnsi="Aptos" w:eastAsia="Aptos" w:cs="Aptos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MIT </w:t>
      </w:r>
      <w:r w:rsidRPr="5883093F" w:rsidR="79C78A12">
        <w:rPr>
          <w:rFonts w:ascii="Aptos" w:hAnsi="Aptos" w:eastAsia="Aptos" w:cs="Aptos" w:asciiTheme="majorAscii" w:hAnsiTheme="majorAscii" w:eastAsiaTheme="majorAscii" w:cstheme="majorAscii"/>
          <w:noProof w:val="0"/>
          <w:sz w:val="24"/>
          <w:szCs w:val="24"/>
          <w:lang w:val="en-GB"/>
        </w:rPr>
        <w:t>OpenCourseWare</w:t>
      </w:r>
      <w:r w:rsidRPr="5883093F" w:rsidR="79C78A12">
        <w:rPr>
          <w:rFonts w:ascii="Aptos" w:hAnsi="Aptos" w:eastAsia="Aptos" w:cs="Aptos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. (2017, February 24). </w:t>
      </w:r>
      <w:r w:rsidRPr="5883093F" w:rsidR="79C78A12">
        <w:rPr>
          <w:rFonts w:ascii="Aptos" w:hAnsi="Aptos" w:eastAsia="Aptos" w:cs="Aptos" w:asciiTheme="majorAscii" w:hAnsiTheme="majorAscii" w:eastAsiaTheme="majorAscii" w:cstheme="majorAscii"/>
          <w:i w:val="1"/>
          <w:iCs w:val="1"/>
          <w:noProof w:val="0"/>
          <w:sz w:val="24"/>
          <w:szCs w:val="24"/>
          <w:lang w:val="en-GB"/>
        </w:rPr>
        <w:t>Think-Pair-Share</w:t>
      </w:r>
      <w:r w:rsidRPr="5883093F" w:rsidR="79C78A12">
        <w:rPr>
          <w:rFonts w:ascii="Aptos" w:hAnsi="Aptos" w:eastAsia="Aptos" w:cs="Aptos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 [Video]. YouTube. </w:t>
      </w:r>
      <w:hyperlink r:id="Rbafb10c8b83a4f08">
        <w:r w:rsidRPr="5883093F" w:rsidR="79C78A12">
          <w:rPr>
            <w:rStyle w:val="Hyperlink"/>
            <w:rFonts w:ascii="Aptos" w:hAnsi="Aptos" w:eastAsia="Aptos" w:cs="Aptos" w:asciiTheme="majorAscii" w:hAnsiTheme="majorAscii" w:eastAsiaTheme="majorAscii" w:cstheme="majorAscii"/>
            <w:noProof w:val="0"/>
            <w:sz w:val="24"/>
            <w:szCs w:val="24"/>
            <w:lang w:val="en-GB"/>
          </w:rPr>
          <w:t>https://www.youtube.com/watch?v=fqrOxeL-fwk</w:t>
        </w:r>
      </w:hyperlink>
    </w:p>
    <w:p w:rsidR="2221D391" w:rsidP="5883093F" w:rsidRDefault="2221D391" w14:paraId="3B790336" w14:textId="11EA4B08">
      <w:pPr>
        <w:bidi w:val="0"/>
        <w:spacing w:before="240" w:beforeAutospacing="off" w:after="240" w:afterAutospacing="off" w:line="279" w:lineRule="auto"/>
        <w:ind w:left="720" w:right="0" w:hanging="720"/>
        <w:rPr>
          <w:rFonts w:ascii="Aptos Display" w:hAnsi="Aptos Display" w:eastAsia="Aptos Display" w:cs="Aptos Display" w:asciiTheme="majorAscii" w:hAnsiTheme="majorAscii" w:eastAsiaTheme="majorAscii" w:cstheme="majorAscii"/>
          <w:sz w:val="20"/>
          <w:szCs w:val="20"/>
        </w:rPr>
      </w:pPr>
      <w:r w:rsidRPr="5883093F" w:rsidR="79C78A12">
        <w:rPr>
          <w:rFonts w:ascii="Aptos" w:hAnsi="Aptos" w:eastAsia="Aptos" w:cs="Aptos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Wikipedia contributors. (2024, April 9). </w:t>
      </w:r>
      <w:r w:rsidRPr="5883093F" w:rsidR="79C78A12">
        <w:rPr>
          <w:rFonts w:ascii="Aptos" w:hAnsi="Aptos" w:eastAsia="Aptos" w:cs="Aptos" w:asciiTheme="majorAscii" w:hAnsiTheme="majorAscii" w:eastAsiaTheme="majorAscii" w:cstheme="majorAscii"/>
          <w:i w:val="1"/>
          <w:iCs w:val="1"/>
          <w:noProof w:val="0"/>
          <w:sz w:val="24"/>
          <w:szCs w:val="24"/>
          <w:lang w:val="en-GB"/>
        </w:rPr>
        <w:t>Think-Pair-Share</w:t>
      </w:r>
      <w:r w:rsidRPr="5883093F" w:rsidR="79C78A12">
        <w:rPr>
          <w:rFonts w:ascii="Aptos" w:hAnsi="Aptos" w:eastAsia="Aptos" w:cs="Aptos" w:asciiTheme="majorAscii" w:hAnsiTheme="majorAscii" w:eastAsiaTheme="majorAscii" w:cstheme="majorAscii"/>
          <w:noProof w:val="0"/>
          <w:sz w:val="24"/>
          <w:szCs w:val="24"/>
          <w:lang w:val="en-GB"/>
        </w:rPr>
        <w:t xml:space="preserve">. Wikipedia. </w:t>
      </w:r>
      <w:hyperlink r:id="Red3012ab24374336">
        <w:r w:rsidRPr="5883093F" w:rsidR="79C78A12">
          <w:rPr>
            <w:rStyle w:val="Hyperlink"/>
            <w:rFonts w:ascii="Aptos" w:hAnsi="Aptos" w:eastAsia="Aptos" w:cs="Aptos" w:asciiTheme="majorAscii" w:hAnsiTheme="majorAscii" w:eastAsiaTheme="majorAscii" w:cstheme="majorAscii"/>
            <w:noProof w:val="0"/>
            <w:sz w:val="24"/>
            <w:szCs w:val="24"/>
            <w:lang w:val="en-GB"/>
          </w:rPr>
          <w:t>https://en.wikipedia.org/wiki/Think-pair-share</w:t>
        </w:r>
      </w:hyperlink>
    </w:p>
    <w:p w:rsidR="2221D391" w:rsidP="2221D391" w:rsidRDefault="2221D391" w14:paraId="741B5109" w14:textId="398C12BD">
      <w:pPr>
        <w:pStyle w:val="Normal"/>
        <w:bidi w:val="0"/>
      </w:pPr>
    </w:p>
    <w:p w:rsidR="2221D391" w:rsidP="2221D391" w:rsidRDefault="2221D391" w14:paraId="45476D21" w14:textId="339C0B5D">
      <w:pPr>
        <w:rPr>
          <w:rFonts w:ascii="Aptos" w:hAnsi="Aptos" w:eastAsia="Aptos" w:cs="Aptos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4b4fde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04dea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0b3e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61ec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1a77b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49B9B9"/>
    <w:rsid w:val="03B88A60"/>
    <w:rsid w:val="063F7C0C"/>
    <w:rsid w:val="088BD6F2"/>
    <w:rsid w:val="0F880F17"/>
    <w:rsid w:val="100079A4"/>
    <w:rsid w:val="116E2493"/>
    <w:rsid w:val="12574C1C"/>
    <w:rsid w:val="129B7102"/>
    <w:rsid w:val="134A9D9B"/>
    <w:rsid w:val="147D286D"/>
    <w:rsid w:val="1536560C"/>
    <w:rsid w:val="16F752D4"/>
    <w:rsid w:val="179E076E"/>
    <w:rsid w:val="17CCEE1A"/>
    <w:rsid w:val="1B983FBA"/>
    <w:rsid w:val="1D513D08"/>
    <w:rsid w:val="1DE77CA6"/>
    <w:rsid w:val="1EF43CB3"/>
    <w:rsid w:val="2221D391"/>
    <w:rsid w:val="23C114B7"/>
    <w:rsid w:val="240A35E5"/>
    <w:rsid w:val="282D8FB5"/>
    <w:rsid w:val="29DB7E71"/>
    <w:rsid w:val="2ABC7C5B"/>
    <w:rsid w:val="2AC8BE19"/>
    <w:rsid w:val="2C85C961"/>
    <w:rsid w:val="2DA60752"/>
    <w:rsid w:val="2F9DE755"/>
    <w:rsid w:val="3239DF73"/>
    <w:rsid w:val="33EBE284"/>
    <w:rsid w:val="34EA37E0"/>
    <w:rsid w:val="36F2653E"/>
    <w:rsid w:val="374FDE01"/>
    <w:rsid w:val="3A0A5EB8"/>
    <w:rsid w:val="3A221BB7"/>
    <w:rsid w:val="3ACC62FB"/>
    <w:rsid w:val="3D169472"/>
    <w:rsid w:val="3E29D4DE"/>
    <w:rsid w:val="4071C6B7"/>
    <w:rsid w:val="46022A4A"/>
    <w:rsid w:val="465E16BA"/>
    <w:rsid w:val="4AB76F36"/>
    <w:rsid w:val="5156AE52"/>
    <w:rsid w:val="5582553A"/>
    <w:rsid w:val="56E96C34"/>
    <w:rsid w:val="5883093F"/>
    <w:rsid w:val="5EB49ABE"/>
    <w:rsid w:val="6049B9B9"/>
    <w:rsid w:val="60E2ECF5"/>
    <w:rsid w:val="62150FFD"/>
    <w:rsid w:val="63429CEE"/>
    <w:rsid w:val="6C20C1BF"/>
    <w:rsid w:val="6CF11B52"/>
    <w:rsid w:val="6E038B40"/>
    <w:rsid w:val="70248124"/>
    <w:rsid w:val="72EA365F"/>
    <w:rsid w:val="742A238F"/>
    <w:rsid w:val="742D965B"/>
    <w:rsid w:val="7481F71B"/>
    <w:rsid w:val="74E57171"/>
    <w:rsid w:val="7501BC0D"/>
    <w:rsid w:val="757869E3"/>
    <w:rsid w:val="7625223A"/>
    <w:rsid w:val="780DF161"/>
    <w:rsid w:val="79C78A12"/>
    <w:rsid w:val="7B96F132"/>
    <w:rsid w:val="7CAF9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9B9B9"/>
  <w15:chartTrackingRefBased/>
  <w15:docId w15:val="{E09D5BB7-DC60-4296-9D10-A885FEB813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2221D391"/>
    <w:rPr>
      <w:noProof w:val="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uiPriority w:val="9"/>
    <w:name w:val="heading 1"/>
    <w:basedOn w:val="Normal"/>
    <w:next w:val="Normal"/>
    <w:link w:val="Heading1Char"/>
    <w:qFormat/>
    <w:rsid w:val="2221D391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2221D391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2221D391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2221D391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2221D391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2221D391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2221D391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2221D391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2221D391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uiPriority w:val="10"/>
    <w:name w:val="Title"/>
    <w:basedOn w:val="Normal"/>
    <w:next w:val="Normal"/>
    <w:link w:val="TitleChar"/>
    <w:qFormat/>
    <w:rsid w:val="2221D391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2221D391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2221D391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2221D391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221D391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2221D39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ed3012ab24374336" Type="http://schemas.openxmlformats.org/officeDocument/2006/relationships/hyperlink" Target="https://en.wikipedia.org/wiki/Think-pair-share" TargetMode="External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f1f3976cc3d548c1" Type="http://schemas.openxmlformats.org/officeDocument/2006/relationships/numbering" Target="numbering.xml"/><Relationship Id="Rab4344cd00894be1" Type="http://schemas.openxmlformats.org/officeDocument/2006/relationships/hyperlink" Target="https://www.gointeractivetraining.com/pair-shares/" TargetMode="External"/><Relationship Id="Rbafb10c8b83a4f08" Type="http://schemas.openxmlformats.org/officeDocument/2006/relationships/hyperlink" Target="https://www.youtube.com/watch?v=fqrOxeL-fwk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73709e59cc6745ec" Type="http://schemas.openxmlformats.org/officeDocument/2006/relationships/hyperlink" Target="https://www.edutopia.org/article/think-pair-share-variations-16-ways-up-your-game" TargetMode="External"/><Relationship Id="Rfd0bd91313934a4e" Type="http://schemas.openxmlformats.org/officeDocument/2006/relationships/hyperlink" Target="https://www.structural-learning.com/post/think-pair-share-a-teachers-guide" TargetMode="External"/><Relationship Id="rId1" Type="http://schemas.openxmlformats.org/officeDocument/2006/relationships/styles" Target="styles.xml"/><Relationship Id="R70eb960eb82b4455" Type="http://schemas.openxmlformats.org/officeDocument/2006/relationships/hyperlink" Target="https://www.edutopia.org/article/think-pair-share-variations-16-ways-up-your-game" TargetMode="Externa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c4451f20518c4b79" Type="http://schemas.openxmlformats.org/officeDocument/2006/relationships/image" Target="/media/image.jpg"/><Relationship Id="R68672db2c62640ae" Type="http://schemas.openxmlformats.org/officeDocument/2006/relationships/hyperlink" Target="https://en.wikipedia.org/wiki/Think-pair-share" TargetMode="External"/><Relationship Id="R26ce90fe04154d1e" Type="http://schemas.openxmlformats.org/officeDocument/2006/relationships/hyperlink" Target="https://youtu.be/fqrOxeL-fwk?si=YRbT7jZUGm6OnOFj" TargetMode="Externa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E8F605268BC4CA13A584673995CEF" ma:contentTypeVersion="11" ma:contentTypeDescription="Create a new document." ma:contentTypeScope="" ma:versionID="8375e233cff4416328c9fac6a2be450b">
  <xsd:schema xmlns:xsd="http://www.w3.org/2001/XMLSchema" xmlns:xs="http://www.w3.org/2001/XMLSchema" xmlns:p="http://schemas.microsoft.com/office/2006/metadata/properties" xmlns:ns2="28f2f0b4-8332-45e8-9525-11ff40b41bec" xmlns:ns3="c40e8b41-c264-47a4-8924-f26fe30df5bd" targetNamespace="http://schemas.microsoft.com/office/2006/metadata/properties" ma:root="true" ma:fieldsID="978a6f0a9d03bffc4d702316a6e91cf2" ns2:_="" ns3:_="">
    <xsd:import namespace="28f2f0b4-8332-45e8-9525-11ff40b41bec"/>
    <xsd:import namespace="c40e8b41-c264-47a4-8924-f26fe30df5b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2f0b4-8332-45e8-9525-11ff40b41be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16c5362-aa65-48b2-b80a-b86a9feaf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e8b41-c264-47a4-8924-f26fe30df5b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bfd33a5-d49e-4576-8de8-5c83579fd8e7}" ma:internalName="TaxCatchAll" ma:showField="CatchAllData" ma:web="c40e8b41-c264-47a4-8924-f26fe30df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f2f0b4-8332-45e8-9525-11ff40b41bec">
      <Terms xmlns="http://schemas.microsoft.com/office/infopath/2007/PartnerControls"/>
    </lcf76f155ced4ddcb4097134ff3c332f>
    <TaxCatchAll xmlns="c40e8b41-c264-47a4-8924-f26fe30df5bd" xsi:nil="true"/>
  </documentManagement>
</p:properties>
</file>

<file path=customXml/itemProps1.xml><?xml version="1.0" encoding="utf-8"?>
<ds:datastoreItem xmlns:ds="http://schemas.openxmlformats.org/officeDocument/2006/customXml" ds:itemID="{16CC90BC-8A3C-4590-99A9-F7F03AC68BFA}"/>
</file>

<file path=customXml/itemProps2.xml><?xml version="1.0" encoding="utf-8"?>
<ds:datastoreItem xmlns:ds="http://schemas.openxmlformats.org/officeDocument/2006/customXml" ds:itemID="{BF7C11A0-8A7D-42E4-A167-6FA25807B343}"/>
</file>

<file path=customXml/itemProps3.xml><?xml version="1.0" encoding="utf-8"?>
<ds:datastoreItem xmlns:ds="http://schemas.openxmlformats.org/officeDocument/2006/customXml" ds:itemID="{6A4EAE05-C5B2-4BD7-943D-58B3031B96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CLTE</dc:creator>
  <cp:keywords/>
  <dc:description/>
  <cp:lastModifiedBy>CLTE</cp:lastModifiedBy>
  <dcterms:created xsi:type="dcterms:W3CDTF">2025-03-18T07:14:41Z</dcterms:created>
  <dcterms:modified xsi:type="dcterms:W3CDTF">2025-03-18T11:21:04Z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0x010100B4EE8F605268BC4CA13A584673995CEF</vt:lpwstr>
  </property>
</Properties>
</file>